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30B2" w14:textId="77777777" w:rsidR="003C2390" w:rsidRPr="00645E71" w:rsidRDefault="009466A5">
      <w:pPr>
        <w:rPr>
          <w:b/>
          <w:sz w:val="28"/>
          <w:szCs w:val="28"/>
        </w:rPr>
      </w:pPr>
      <w:r w:rsidRPr="00645E71">
        <w:rPr>
          <w:b/>
          <w:sz w:val="28"/>
          <w:szCs w:val="28"/>
        </w:rPr>
        <w:t xml:space="preserve">The </w:t>
      </w:r>
      <w:proofErr w:type="spellStart"/>
      <w:r w:rsidRPr="00645E71">
        <w:rPr>
          <w:b/>
          <w:sz w:val="28"/>
          <w:szCs w:val="28"/>
        </w:rPr>
        <w:t>Charis</w:t>
      </w:r>
      <w:proofErr w:type="spellEnd"/>
      <w:r w:rsidRPr="00645E71">
        <w:rPr>
          <w:b/>
          <w:sz w:val="28"/>
          <w:szCs w:val="28"/>
        </w:rPr>
        <w:t xml:space="preserve"> Project </w:t>
      </w:r>
    </w:p>
    <w:p w14:paraId="44B022A3" w14:textId="3FFFA175" w:rsidR="00A42634" w:rsidRDefault="009466A5">
      <w:r>
        <w:t>Projected Budget 2013</w:t>
      </w:r>
      <w:r w:rsidR="0006607A">
        <w:t xml:space="preserve"> </w:t>
      </w:r>
    </w:p>
    <w:p w14:paraId="5ABDD776" w14:textId="12334E45" w:rsidR="0006607A" w:rsidRDefault="0006607A">
      <w:r>
        <w:t xml:space="preserve">Prepared by: </w:t>
      </w:r>
      <w:proofErr w:type="spellStart"/>
      <w:r>
        <w:t>Carrien</w:t>
      </w:r>
      <w:proofErr w:type="spellEnd"/>
      <w:r>
        <w:t xml:space="preserve"> Blue and Emmet Blue, CFO</w:t>
      </w:r>
    </w:p>
    <w:p w14:paraId="342D985D" w14:textId="6DC22AD3" w:rsidR="00CD7475" w:rsidRDefault="0006607A">
      <w:r>
        <w:t>April 6, 2013</w:t>
      </w:r>
    </w:p>
    <w:p w14:paraId="543AF6C2" w14:textId="77777777" w:rsidR="00CD7475" w:rsidRPr="00F51333" w:rsidRDefault="00F51333">
      <w:pPr>
        <w:rPr>
          <w:b/>
        </w:rPr>
      </w:pPr>
      <w:r w:rsidRPr="00F51333">
        <w:rPr>
          <w:b/>
        </w:rPr>
        <w:t xml:space="preserve">Essential </w:t>
      </w:r>
      <w:r w:rsidR="00E25C5D">
        <w:rPr>
          <w:b/>
        </w:rPr>
        <w:t xml:space="preserve">Operations </w:t>
      </w:r>
      <w:r w:rsidRPr="00F51333">
        <w:rPr>
          <w:b/>
        </w:rPr>
        <w:t>Budget</w:t>
      </w:r>
    </w:p>
    <w:p w14:paraId="75195B8C" w14:textId="4C133CA0" w:rsidR="00F51333" w:rsidRDefault="00F51333">
      <w:r>
        <w:t xml:space="preserve">The </w:t>
      </w:r>
      <w:r w:rsidR="00606979">
        <w:t>projected</w:t>
      </w:r>
      <w:r>
        <w:t xml:space="preserve"> revenue for 2013</w:t>
      </w:r>
      <w:r w:rsidR="008B05FF">
        <w:t xml:space="preserve"> totals</w:t>
      </w:r>
      <w:r w:rsidR="00606979">
        <w:t xml:space="preserve"> $55,600 from donations and grants.</w:t>
      </w:r>
      <w:r w:rsidR="008B05FF">
        <w:t xml:space="preserve"> This number is in keeping with the current rate of donations and equal to the 2012 total.</w:t>
      </w:r>
      <w:r w:rsidR="00606979">
        <w:t xml:space="preserve"> Combined with the surplus from 2012 of $26,167, the projected available funds </w:t>
      </w:r>
      <w:proofErr w:type="gramStart"/>
      <w:r w:rsidR="008B05FF">
        <w:t>for 2013 total</w:t>
      </w:r>
      <w:r w:rsidR="00571C6C">
        <w:t xml:space="preserve"> $82</w:t>
      </w:r>
      <w:r w:rsidR="00606979">
        <w:t>,767</w:t>
      </w:r>
      <w:proofErr w:type="gramEnd"/>
      <w:r w:rsidR="008B05FF">
        <w:t xml:space="preserve">. </w:t>
      </w:r>
    </w:p>
    <w:p w14:paraId="68D9F95A" w14:textId="2A21CCFF" w:rsidR="008B05FF" w:rsidRDefault="008B05FF">
      <w:r>
        <w:t xml:space="preserve">With </w:t>
      </w:r>
      <w:r w:rsidR="00286281">
        <w:t xml:space="preserve">work of Aaron and </w:t>
      </w:r>
      <w:proofErr w:type="spellStart"/>
      <w:r w:rsidR="00286281">
        <w:t>Carrien</w:t>
      </w:r>
      <w:proofErr w:type="spellEnd"/>
      <w:r w:rsidR="00286281">
        <w:t xml:space="preserve"> Blue in</w:t>
      </w:r>
      <w:r w:rsidR="00E25C5D">
        <w:t xml:space="preserve"> Thailand</w:t>
      </w:r>
      <w:r w:rsidR="00286281">
        <w:t xml:space="preserve"> in order to develop the educational training program</w:t>
      </w:r>
      <w:r w:rsidR="00E25C5D">
        <w:t>, the launch</w:t>
      </w:r>
      <w:r>
        <w:t xml:space="preserve"> of the Mae</w:t>
      </w:r>
      <w:r w:rsidR="00187D77">
        <w:t xml:space="preserve"> Sot</w:t>
      </w:r>
      <w:r>
        <w:t xml:space="preserve"> project, an</w:t>
      </w:r>
      <w:r w:rsidR="00E25C5D">
        <w:t>d the addition of various other expenses, the previous years budget of  $38,843 will need to more</w:t>
      </w:r>
      <w:r w:rsidR="00645E71">
        <w:t xml:space="preserve"> </w:t>
      </w:r>
      <w:r w:rsidR="009E51D4">
        <w:t>than double to an estimated $82,</w:t>
      </w:r>
      <w:r w:rsidR="00645E71">
        <w:t>227</w:t>
      </w:r>
      <w:r w:rsidR="0006607A">
        <w:t xml:space="preserve">. This necessary growth depends on the budget surplus from previous years, but is </w:t>
      </w:r>
      <w:r w:rsidR="007D73AE">
        <w:t>sustainable</w:t>
      </w:r>
      <w:r w:rsidR="0006607A">
        <w:t xml:space="preserve"> </w:t>
      </w:r>
      <w:r w:rsidR="00E25C5D">
        <w:t xml:space="preserve">through the greater fundraising </w:t>
      </w:r>
      <w:r w:rsidR="007D73AE">
        <w:t>power of the B</w:t>
      </w:r>
      <w:r w:rsidR="0006607A">
        <w:t xml:space="preserve">lue family’s direct involvement in Thailand </w:t>
      </w:r>
      <w:r w:rsidR="007D73AE">
        <w:t>and the development of new strategic partnerships.</w:t>
      </w:r>
    </w:p>
    <w:p w14:paraId="0D3FD654" w14:textId="77777777" w:rsidR="009466A5" w:rsidRDefault="009466A5"/>
    <w:p w14:paraId="650E05D1" w14:textId="77777777" w:rsidR="009466A5" w:rsidRDefault="009466A5">
      <w:r>
        <w:rPr>
          <w:noProof/>
          <w:lang w:eastAsia="en-US"/>
        </w:rPr>
        <w:drawing>
          <wp:inline distT="0" distB="0" distL="0" distR="0" wp14:anchorId="2813F0C0" wp14:editId="45B68586">
            <wp:extent cx="5486400" cy="3860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60210B2" w14:textId="77777777" w:rsidR="00CD7475" w:rsidRDefault="00CD7475"/>
    <w:p w14:paraId="78475A79" w14:textId="77777777" w:rsidR="00CD7475" w:rsidRDefault="00CD7475"/>
    <w:p w14:paraId="6466BDAE" w14:textId="77777777" w:rsidR="007D73AE" w:rsidRPr="007D73AE" w:rsidRDefault="007D73AE">
      <w:pPr>
        <w:rPr>
          <w:b/>
        </w:rPr>
      </w:pPr>
      <w:r w:rsidRPr="007D73AE">
        <w:rPr>
          <w:b/>
        </w:rPr>
        <w:t>Surplus Budget</w:t>
      </w:r>
    </w:p>
    <w:p w14:paraId="5487A170" w14:textId="6D52AEB8" w:rsidR="00CE7B08" w:rsidRDefault="00CE7B08">
      <w:r>
        <w:t xml:space="preserve">In the event of a budget surplus, the funds will be held in reserve for the 2014 Essential Budget or, environment </w:t>
      </w:r>
      <w:r w:rsidR="004F7357">
        <w:t>permitting, used for</w:t>
      </w:r>
      <w:r w:rsidR="0006607A">
        <w:t xml:space="preserve"> current</w:t>
      </w:r>
      <w:r>
        <w:t xml:space="preserve"> useful projects.</w:t>
      </w:r>
      <w:r w:rsidR="00645E71">
        <w:t xml:space="preserve"> The</w:t>
      </w:r>
      <w:r w:rsidR="004F7357">
        <w:t xml:space="preserve"> </w:t>
      </w:r>
      <w:r w:rsidR="0006607A">
        <w:t>total for these projects is $15,950. This</w:t>
      </w:r>
      <w:r w:rsidR="00C14589">
        <w:t xml:space="preserve"> i</w:t>
      </w:r>
      <w:r w:rsidR="004F7357">
        <w:t>nclude</w:t>
      </w:r>
      <w:r w:rsidR="0006607A">
        <w:t>s</w:t>
      </w:r>
      <w:r w:rsidR="00645E71">
        <w:t xml:space="preserve"> equipment and staff development, speaking events, advertising for </w:t>
      </w:r>
      <w:proofErr w:type="spellStart"/>
      <w:r w:rsidR="00645E71">
        <w:t>Charis’s</w:t>
      </w:r>
      <w:proofErr w:type="spellEnd"/>
      <w:r w:rsidR="00645E71">
        <w:t xml:space="preserve"> online presence</w:t>
      </w:r>
      <w:r w:rsidR="00C14589">
        <w:t>, and direct marketing to churches for contributions</w:t>
      </w:r>
      <w:r w:rsidR="00645E71">
        <w:t>.</w:t>
      </w:r>
      <w:r w:rsidR="00C14589">
        <w:t xml:space="preserve"> The largest item is the development of an online marketplace and community for NGO produced regional products.</w:t>
      </w:r>
      <w:r w:rsidR="0006607A">
        <w:t xml:space="preserve"> The online market represents the largest expense and is not yet feasible; however, the advertisement and direct marketing are immediately applicable </w:t>
      </w:r>
      <w:r w:rsidR="00BC285E">
        <w:t>and are likely to produce returns.</w:t>
      </w:r>
      <w:bookmarkStart w:id="0" w:name="_GoBack"/>
      <w:bookmarkEnd w:id="0"/>
    </w:p>
    <w:p w14:paraId="72492EBC" w14:textId="77777777" w:rsidR="00CE7B08" w:rsidRDefault="00CE7B08"/>
    <w:p w14:paraId="7C92D575" w14:textId="0F8140C9" w:rsidR="00CE7B08" w:rsidRDefault="00645E71">
      <w:r>
        <w:rPr>
          <w:noProof/>
          <w:lang w:eastAsia="en-US"/>
        </w:rPr>
        <w:drawing>
          <wp:inline distT="0" distB="0" distL="0" distR="0" wp14:anchorId="6C9F2812" wp14:editId="1CD13136">
            <wp:extent cx="5486400" cy="3200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E7B08" w:rsidSect="00EC3F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A5"/>
    <w:rsid w:val="0006607A"/>
    <w:rsid w:val="00187D77"/>
    <w:rsid w:val="00286281"/>
    <w:rsid w:val="003C2390"/>
    <w:rsid w:val="004F7357"/>
    <w:rsid w:val="00571C6C"/>
    <w:rsid w:val="00606979"/>
    <w:rsid w:val="00645E71"/>
    <w:rsid w:val="006D55BE"/>
    <w:rsid w:val="007D73AE"/>
    <w:rsid w:val="008B05FF"/>
    <w:rsid w:val="009466A5"/>
    <w:rsid w:val="009E51D4"/>
    <w:rsid w:val="00A42634"/>
    <w:rsid w:val="00B15276"/>
    <w:rsid w:val="00BC285E"/>
    <w:rsid w:val="00C14589"/>
    <w:rsid w:val="00CD7475"/>
    <w:rsid w:val="00CE7B08"/>
    <w:rsid w:val="00E25C5D"/>
    <w:rsid w:val="00EC3F4F"/>
    <w:rsid w:val="00F44FFB"/>
    <w:rsid w:val="00F51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D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A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A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Essential Budget</c:v>
                </c:pt>
              </c:strCache>
            </c:strRef>
          </c:tx>
          <c:spPr>
            <a:ln w="47625">
              <a:noFill/>
            </a:ln>
          </c:spPr>
          <c:dLbls>
            <c:dLbl>
              <c:idx val="3"/>
              <c:layout>
                <c:manualLayout>
                  <c:x val="-0.0851819043452902"/>
                  <c:y val="0.2614698162729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504115631379411"/>
                  <c:y val="0.22731817239950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3339038349373"/>
                  <c:y val="0.1724378367177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82920676582094"/>
                  <c:y val="-0.0328097803564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0321874088655585"/>
                  <c:y val="-0.005881941566514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3248760571595"/>
                  <c:y val="-0.001089411520928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Doi Muser</c:v>
                </c:pt>
                <c:pt idx="1">
                  <c:v>Mae Sot</c:v>
                </c:pt>
                <c:pt idx="2">
                  <c:v>Educational Development Expense</c:v>
                </c:pt>
                <c:pt idx="3">
                  <c:v>Contractor Fees</c:v>
                </c:pt>
                <c:pt idx="4">
                  <c:v>Banking, Audit, &amp; Accounting Fees</c:v>
                </c:pt>
                <c:pt idx="5">
                  <c:v>Curriculum Development</c:v>
                </c:pt>
                <c:pt idx="6">
                  <c:v>Parallel Prototyping -Mexico - Travel</c:v>
                </c:pt>
                <c:pt idx="7">
                  <c:v>Tithe</c:v>
                </c:pt>
                <c:pt idx="8">
                  <c:v>Office Expenses</c:v>
                </c:pt>
                <c:pt idx="9">
                  <c:v>General &amp; Petty Fund</c:v>
                </c:pt>
              </c:strCache>
            </c:strRef>
          </c:cat>
          <c:val>
            <c:numRef>
              <c:f>Sheet1!$B$2:$B$11</c:f>
              <c:numCache>
                <c:formatCode>"$"#,##0.00</c:formatCode>
                <c:ptCount val="10"/>
                <c:pt idx="0">
                  <c:v>16800.0</c:v>
                </c:pt>
                <c:pt idx="1">
                  <c:v>15000.0</c:v>
                </c:pt>
                <c:pt idx="2">
                  <c:v>27000.0</c:v>
                </c:pt>
                <c:pt idx="3">
                  <c:v>7200.0</c:v>
                </c:pt>
                <c:pt idx="4">
                  <c:v>3647.0</c:v>
                </c:pt>
                <c:pt idx="5">
                  <c:v>3600.0</c:v>
                </c:pt>
                <c:pt idx="6">
                  <c:v>3000.0</c:v>
                </c:pt>
                <c:pt idx="7">
                  <c:v>3000.0</c:v>
                </c:pt>
                <c:pt idx="8">
                  <c:v>1780.0</c:v>
                </c:pt>
                <c:pt idx="9">
                  <c:v>1200.0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Additional Budget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Advertising</c:v>
                </c:pt>
                <c:pt idx="1">
                  <c:v>Equipment &amp; Staff Development</c:v>
                </c:pt>
                <c:pt idx="2">
                  <c:v>Speaking Events</c:v>
                </c:pt>
                <c:pt idx="3">
                  <c:v>Trademarking</c:v>
                </c:pt>
                <c:pt idx="4">
                  <c:v>Direct Marketing to Churches</c:v>
                </c:pt>
                <c:pt idx="5">
                  <c:v>Online Market</c:v>
                </c:pt>
              </c:strCache>
            </c:strRef>
          </c:cat>
          <c:val>
            <c:numRef>
              <c:f>Sheet1!$B$2:$B$7</c:f>
              <c:numCache>
                <c:formatCode>_([$$-409]* #,##0.00_);_([$$-409]* \(#,##0.00\);_([$$-409]* "-"??_);_(@_)</c:formatCode>
                <c:ptCount val="6"/>
                <c:pt idx="0">
                  <c:v>1200.0</c:v>
                </c:pt>
                <c:pt idx="1">
                  <c:v>1500.0</c:v>
                </c:pt>
                <c:pt idx="2">
                  <c:v>1500.0</c:v>
                </c:pt>
                <c:pt idx="3">
                  <c:v>1750.0</c:v>
                </c:pt>
                <c:pt idx="4">
                  <c:v>1500.0</c:v>
                </c:pt>
                <c:pt idx="5">
                  <c:v>10000.0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Blue</dc:creator>
  <cp:keywords/>
  <dc:description/>
  <cp:lastModifiedBy>TCP</cp:lastModifiedBy>
  <cp:revision>2</cp:revision>
  <dcterms:created xsi:type="dcterms:W3CDTF">2013-04-20T08:44:00Z</dcterms:created>
  <dcterms:modified xsi:type="dcterms:W3CDTF">2013-04-20T08:44:00Z</dcterms:modified>
</cp:coreProperties>
</file>